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A6" w:rsidRDefault="001F0EA6" w:rsidP="001F0EA6">
      <w:pPr>
        <w:pStyle w:val="Odstavecseseznamem"/>
        <w:spacing w:after="0"/>
        <w:ind w:left="360"/>
        <w:rPr>
          <w:rFonts w:ascii="Arial Narrow" w:hAnsi="Arial Narrow"/>
          <w:b/>
        </w:rPr>
      </w:pPr>
    </w:p>
    <w:p w:rsidR="001F0EA6" w:rsidRPr="00F114FD" w:rsidRDefault="00F114FD" w:rsidP="00657087">
      <w:pPr>
        <w:spacing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F114FD">
        <w:rPr>
          <w:rFonts w:ascii="Arial Narrow" w:hAnsi="Arial Narrow"/>
          <w:b/>
        </w:rPr>
        <w:t xml:space="preserve">nnex to point 4.2. </w:t>
      </w:r>
      <w:r>
        <w:rPr>
          <w:rFonts w:ascii="Arial Narrow" w:hAnsi="Arial Narrow"/>
          <w:b/>
        </w:rPr>
        <w:t>B</w:t>
      </w:r>
      <w:r w:rsidRPr="00F114FD">
        <w:rPr>
          <w:rFonts w:ascii="Arial Narrow" w:hAnsi="Arial Narrow"/>
          <w:b/>
        </w:rPr>
        <w:t xml:space="preserve">udget </w:t>
      </w:r>
      <w:r>
        <w:rPr>
          <w:rFonts w:ascii="Arial Narrow" w:hAnsi="Arial Narrow"/>
          <w:b/>
        </w:rPr>
        <w:t>of the „I</w:t>
      </w:r>
      <w:r w:rsidRPr="00F114FD">
        <w:rPr>
          <w:rFonts w:ascii="Arial Narrow" w:hAnsi="Arial Narrow"/>
          <w:b/>
        </w:rPr>
        <w:t>nterim monitoring report for an initiative</w:t>
      </w:r>
      <w:r>
        <w:rPr>
          <w:rFonts w:ascii="Arial Narrow" w:hAnsi="Arial Narrow"/>
          <w:b/>
        </w:rPr>
        <w:t xml:space="preserve">“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657087">
        <w:rPr>
          <w:rFonts w:ascii="Arial Narrow" w:hAnsi="Arial Narrow"/>
          <w:b/>
        </w:rPr>
        <w:t xml:space="preserve">     </w:t>
      </w:r>
      <w:r>
        <w:rPr>
          <w:rFonts w:ascii="Arial Narrow" w:hAnsi="Arial Narrow"/>
          <w:b/>
        </w:rPr>
        <w:tab/>
      </w:r>
      <w:r w:rsidR="00657087">
        <w:rPr>
          <w:rFonts w:ascii="Arial Narrow" w:hAnsi="Arial Narrow"/>
          <w:b/>
        </w:rPr>
        <w:t xml:space="preserve">             </w:t>
      </w:r>
      <w:r w:rsidRPr="00F114FD">
        <w:rPr>
          <w:rFonts w:ascii="Arial Narrow" w:hAnsi="Arial Narrow"/>
          <w:b/>
        </w:rPr>
        <w:t>List of paid documents</w:t>
      </w:r>
    </w:p>
    <w:p w:rsidR="009E3580" w:rsidRDefault="00F114FD" w:rsidP="00657087">
      <w:pPr>
        <w:spacing w:after="0"/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Příloha k bodu 4.2. Rozpočet</w:t>
      </w:r>
      <w:r>
        <w:rPr>
          <w:rFonts w:ascii="Arial Narrow" w:hAnsi="Arial Narrow"/>
          <w:i/>
          <w:sz w:val="20"/>
          <w:szCs w:val="20"/>
        </w:rPr>
        <w:tab/>
        <w:t xml:space="preserve"> „Průběžné monitorovací zprávy“</w:t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 w:rsidR="00657087">
        <w:rPr>
          <w:rFonts w:ascii="Arial Narrow" w:hAnsi="Arial Narrow"/>
          <w:i/>
          <w:sz w:val="20"/>
          <w:szCs w:val="20"/>
        </w:rPr>
        <w:t xml:space="preserve"> </w:t>
      </w:r>
      <w:bookmarkStart w:id="0" w:name="_GoBack"/>
      <w:bookmarkEnd w:id="0"/>
      <w:r w:rsidR="00657087">
        <w:rPr>
          <w:rFonts w:ascii="Arial Narrow" w:hAnsi="Arial Narrow"/>
          <w:i/>
          <w:sz w:val="20"/>
          <w:szCs w:val="20"/>
        </w:rPr>
        <w:t xml:space="preserve">             </w:t>
      </w:r>
      <w:r>
        <w:rPr>
          <w:rFonts w:ascii="Arial Narrow" w:hAnsi="Arial Narrow"/>
          <w:i/>
          <w:sz w:val="20"/>
          <w:szCs w:val="20"/>
        </w:rPr>
        <w:t>S</w:t>
      </w:r>
      <w:r w:rsidR="001F0EA6" w:rsidRPr="001F0EA6">
        <w:rPr>
          <w:rFonts w:ascii="Arial Narrow" w:hAnsi="Arial Narrow"/>
          <w:i/>
          <w:sz w:val="20"/>
          <w:szCs w:val="20"/>
        </w:rPr>
        <w:t>oupis uhrazených dokladů</w:t>
      </w:r>
    </w:p>
    <w:p w:rsidR="00F114FD" w:rsidRDefault="00F114FD" w:rsidP="00F114FD">
      <w:pPr>
        <w:spacing w:after="0"/>
        <w:rPr>
          <w:rFonts w:ascii="Arial Narrow" w:hAnsi="Arial Narrow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7"/>
        <w:gridCol w:w="1138"/>
        <w:gridCol w:w="1845"/>
        <w:gridCol w:w="994"/>
        <w:gridCol w:w="1313"/>
        <w:gridCol w:w="1215"/>
        <w:gridCol w:w="1215"/>
        <w:gridCol w:w="1215"/>
        <w:gridCol w:w="2380"/>
      </w:tblGrid>
      <w:tr w:rsidR="002405A1" w:rsidRPr="001F0EA6" w:rsidTr="00C84A12">
        <w:trPr>
          <w:trHeight w:val="947"/>
        </w:trPr>
        <w:tc>
          <w:tcPr>
            <w:tcW w:w="959" w:type="pct"/>
            <w:tcBorders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Budget Item</w:t>
            </w:r>
          </w:p>
        </w:tc>
        <w:tc>
          <w:tcPr>
            <w:tcW w:w="40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Number of  accounting document </w:t>
            </w:r>
          </w:p>
        </w:tc>
        <w:tc>
          <w:tcPr>
            <w:tcW w:w="659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Description of expenditure</w:t>
            </w:r>
          </w:p>
        </w:tc>
        <w:tc>
          <w:tcPr>
            <w:tcW w:w="355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Paid on </w:t>
            </w:r>
          </w:p>
        </w:tc>
        <w:tc>
          <w:tcPr>
            <w:tcW w:w="469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Total expenditure in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relevant currency </w:t>
            </w:r>
          </w:p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NOK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/ </w:t>
            </w: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EUR</w:t>
            </w:r>
            <w:r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/ </w:t>
            </w: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CZK</w:t>
            </w:r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Exchange rate to</w:t>
            </w:r>
            <w:r w:rsidR="002405A1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 CZK</w:t>
            </w:r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Total expenditure in CZK</w:t>
            </w:r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Total eligible expenditure in CZK*</w:t>
            </w:r>
          </w:p>
        </w:tc>
        <w:tc>
          <w:tcPr>
            <w:tcW w:w="850" w:type="pct"/>
            <w:tcBorders>
              <w:left w:val="single" w:sz="18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:rsidR="001F0EA6" w:rsidRPr="001F0EA6" w:rsidRDefault="001F0EA6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  <w:lang w:val="en-GB"/>
              </w:rPr>
            </w:pPr>
            <w:r w:rsidRPr="001F0EA6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Notes</w:t>
            </w:r>
          </w:p>
        </w:tc>
      </w:tr>
      <w:tr w:rsidR="002405A1" w:rsidRPr="001F0EA6" w:rsidTr="00C84A12">
        <w:trPr>
          <w:trHeight w:val="36"/>
        </w:trPr>
        <w:tc>
          <w:tcPr>
            <w:tcW w:w="5000" w:type="pct"/>
            <w:gridSpan w:val="9"/>
            <w:shd w:val="clear" w:color="auto" w:fill="FFFFFF" w:themeFill="background1"/>
            <w:vAlign w:val="center"/>
          </w:tcPr>
          <w:p w:rsidR="002405A1" w:rsidRPr="001F0EA6" w:rsidRDefault="002405A1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6"/>
                <w:szCs w:val="6"/>
              </w:rPr>
            </w:pPr>
          </w:p>
          <w:p w:rsidR="002405A1" w:rsidRPr="001F0EA6" w:rsidRDefault="002405A1" w:rsidP="001F0EA6">
            <w:pPr>
              <w:spacing w:after="0"/>
              <w:jc w:val="center"/>
              <w:rPr>
                <w:rFonts w:ascii="Arial Narrow" w:hAnsi="Arial Narrow" w:cs="Arial"/>
                <w:b/>
                <w:bCs/>
                <w:color w:val="000000"/>
                <w:sz w:val="6"/>
                <w:szCs w:val="6"/>
              </w:rPr>
            </w:pPr>
          </w:p>
        </w:tc>
      </w:tr>
      <w:tr w:rsidR="002405A1" w:rsidRPr="002405A1" w:rsidTr="00C84A12">
        <w:trPr>
          <w:trHeight w:val="650"/>
        </w:trPr>
        <w:tc>
          <w:tcPr>
            <w:tcW w:w="959" w:type="pct"/>
            <w:tcBorders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Rozpočtová položka</w:t>
            </w:r>
          </w:p>
        </w:tc>
        <w:tc>
          <w:tcPr>
            <w:tcW w:w="406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Číslo účetního dokladu </w:t>
            </w:r>
          </w:p>
        </w:tc>
        <w:tc>
          <w:tcPr>
            <w:tcW w:w="659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Účel platby</w:t>
            </w:r>
          </w:p>
        </w:tc>
        <w:tc>
          <w:tcPr>
            <w:tcW w:w="355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Uhrazeno dne </w:t>
            </w:r>
          </w:p>
        </w:tc>
        <w:tc>
          <w:tcPr>
            <w:tcW w:w="469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bookmarkStart w:id="1" w:name="RANGE!F13"/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Celkové výdaje v</w:t>
            </w: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 relevantní </w:t>
            </w: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měně</w:t>
            </w:r>
          </w:p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NOK</w:t>
            </w: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/ </w:t>
            </w: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EUR</w:t>
            </w: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/</w:t>
            </w: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CZK</w:t>
            </w:r>
            <w:bookmarkEnd w:id="1"/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Směnný kurz do CZK</w:t>
            </w:r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Celkové výdaje v CZK</w:t>
            </w:r>
          </w:p>
        </w:tc>
        <w:tc>
          <w:tcPr>
            <w:tcW w:w="434" w:type="pct"/>
            <w:tcBorders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Celkové způsobilé výdaje v CZK*</w:t>
            </w:r>
          </w:p>
        </w:tc>
        <w:tc>
          <w:tcPr>
            <w:tcW w:w="850" w:type="pct"/>
            <w:tcBorders>
              <w:left w:val="single" w:sz="1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2405A1">
              <w:rPr>
                <w:rFonts w:cs="Arial"/>
                <w:bCs/>
                <w:i/>
                <w:color w:val="000000"/>
                <w:sz w:val="16"/>
                <w:szCs w:val="16"/>
              </w:rPr>
              <w:t>Poznámky</w:t>
            </w:r>
          </w:p>
        </w:tc>
      </w:tr>
      <w:tr w:rsidR="00C84A12" w:rsidRPr="002405A1" w:rsidTr="00AC3D89">
        <w:trPr>
          <w:trHeight w:val="362"/>
        </w:trPr>
        <w:tc>
          <w:tcPr>
            <w:tcW w:w="9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AC3D89" w:rsidRDefault="00AC3D89" w:rsidP="00AC3D89">
            <w:pPr>
              <w:spacing w:after="0"/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46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  <w:tc>
          <w:tcPr>
            <w:tcW w:w="85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6"/>
                <w:szCs w:val="6"/>
              </w:rPr>
            </w:pPr>
          </w:p>
        </w:tc>
      </w:tr>
      <w:tr w:rsidR="002405A1" w:rsidRPr="002405A1" w:rsidTr="00C84A12">
        <w:trPr>
          <w:trHeight w:val="391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405A1" w:rsidRPr="002405A1" w:rsidRDefault="002405A1" w:rsidP="002405A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455E78" w:rsidRPr="002405A1" w:rsidRDefault="00455E78" w:rsidP="002405A1">
      <w:pPr>
        <w:spacing w:after="0"/>
        <w:rPr>
          <w:rFonts w:ascii="Arial Narrow" w:hAnsi="Arial Narrow"/>
          <w:sz w:val="10"/>
          <w:szCs w:val="10"/>
        </w:rPr>
      </w:pPr>
    </w:p>
    <w:tbl>
      <w:tblPr>
        <w:tblW w:w="5000" w:type="pct"/>
        <w:shd w:val="clear" w:color="auto" w:fill="F2F2F2" w:themeFill="background1" w:themeFillShade="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074"/>
        <w:gridCol w:w="2401"/>
        <w:gridCol w:w="711"/>
        <w:gridCol w:w="2840"/>
        <w:gridCol w:w="1137"/>
        <w:gridCol w:w="2481"/>
        <w:gridCol w:w="739"/>
      </w:tblGrid>
      <w:tr w:rsidR="00C84A12" w:rsidRPr="00C84A12" w:rsidTr="00665F21">
        <w:trPr>
          <w:trHeight w:val="391"/>
        </w:trPr>
        <w:tc>
          <w:tcPr>
            <w:tcW w:w="935" w:type="pct"/>
            <w:vMerge w:val="restart"/>
            <w:shd w:val="clear" w:color="auto" w:fill="F2F2F2" w:themeFill="background1" w:themeFillShade="F2"/>
            <w:vAlign w:val="center"/>
          </w:tcPr>
          <w:p w:rsid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Planned expenditure of budget item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Plánované výdaje rozpočtové položky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F2F2F2" w:themeFill="background1" w:themeFillShade="F2"/>
            <w:vAlign w:val="center"/>
          </w:tcPr>
          <w:p w:rsidR="00C84A12" w:rsidRPr="00F114FD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1014" w:type="pct"/>
            <w:vMerge w:val="restart"/>
            <w:shd w:val="clear" w:color="auto" w:fill="F2F2F2" w:themeFill="background1" w:themeFillShade="F2"/>
            <w:vAlign w:val="center"/>
          </w:tcPr>
          <w:p w:rsid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Spent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expenditure of budget item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Vynaložené</w:t>
            </w: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výdaje rozpočtové položky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F2F2F2" w:themeFill="background1" w:themeFillShade="F2"/>
            <w:vAlign w:val="center"/>
          </w:tcPr>
          <w:p w:rsidR="00C84A12" w:rsidRPr="00F114FD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  <w:tr w:rsidR="00C84A12" w:rsidRPr="00C84A12" w:rsidTr="00665F21">
        <w:trPr>
          <w:trHeight w:val="391"/>
        </w:trPr>
        <w:tc>
          <w:tcPr>
            <w:tcW w:w="935" w:type="pct"/>
            <w:vMerge/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F2F2F2" w:themeFill="background1" w:themeFillShade="F2"/>
            <w:vAlign w:val="center"/>
          </w:tcPr>
          <w:p w:rsidR="00C84A12" w:rsidRPr="00F114FD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1014" w:type="pct"/>
            <w:vMerge/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88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84A12" w:rsidRPr="00C84A12" w:rsidRDefault="00C84A12" w:rsidP="00C84A12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F2F2F2" w:themeFill="background1" w:themeFillShade="F2"/>
            <w:vAlign w:val="center"/>
          </w:tcPr>
          <w:p w:rsidR="00C84A12" w:rsidRPr="00F114FD" w:rsidRDefault="00C84A12" w:rsidP="00C84A12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</w:tbl>
    <w:p w:rsidR="001F0EA6" w:rsidRDefault="001F0EA6" w:rsidP="00AC3D89">
      <w:pPr>
        <w:spacing w:after="0"/>
        <w:rPr>
          <w:rFonts w:ascii="Arial Narrow" w:hAnsi="Arial Narrow"/>
          <w:sz w:val="20"/>
          <w:szCs w:val="20"/>
        </w:rPr>
      </w:pPr>
    </w:p>
    <w:p w:rsidR="00AC3D89" w:rsidRPr="00AC3D89" w:rsidRDefault="00AC3D89" w:rsidP="00AC3D89">
      <w:pPr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</w:t>
      </w:r>
      <w:r w:rsidRPr="00AC3D89">
        <w:rPr>
          <w:rFonts w:ascii="Arial Narrow" w:hAnsi="Arial Narrow"/>
          <w:b/>
          <w:sz w:val="20"/>
          <w:szCs w:val="20"/>
        </w:rPr>
        <w:t>2.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3"/>
        <w:gridCol w:w="1136"/>
        <w:gridCol w:w="1844"/>
        <w:gridCol w:w="993"/>
        <w:gridCol w:w="1312"/>
        <w:gridCol w:w="1215"/>
        <w:gridCol w:w="1215"/>
        <w:gridCol w:w="1215"/>
        <w:gridCol w:w="2379"/>
      </w:tblGrid>
      <w:tr w:rsidR="00AC3D89" w:rsidRPr="002405A1" w:rsidTr="006D615C">
        <w:trPr>
          <w:trHeight w:val="391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3D89" w:rsidRPr="002405A1" w:rsidRDefault="00AC3D89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AC3D89" w:rsidRPr="002405A1" w:rsidRDefault="00AC3D89" w:rsidP="00AC3D89">
      <w:pPr>
        <w:spacing w:after="0"/>
        <w:rPr>
          <w:rFonts w:ascii="Arial Narrow" w:hAnsi="Arial Narrow"/>
          <w:sz w:val="10"/>
          <w:szCs w:val="10"/>
        </w:rPr>
      </w:pPr>
    </w:p>
    <w:tbl>
      <w:tblPr>
        <w:tblW w:w="5000" w:type="pct"/>
        <w:shd w:val="clear" w:color="auto" w:fill="F2F2F2" w:themeFill="background1" w:themeFillShade="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9"/>
        <w:gridCol w:w="1074"/>
        <w:gridCol w:w="2401"/>
        <w:gridCol w:w="711"/>
        <w:gridCol w:w="2840"/>
        <w:gridCol w:w="1137"/>
        <w:gridCol w:w="2481"/>
        <w:gridCol w:w="739"/>
      </w:tblGrid>
      <w:tr w:rsidR="00665F21" w:rsidRPr="00C84A12" w:rsidTr="00665F21">
        <w:trPr>
          <w:trHeight w:val="391"/>
        </w:trPr>
        <w:tc>
          <w:tcPr>
            <w:tcW w:w="935" w:type="pct"/>
            <w:vMerge w:val="restart"/>
            <w:shd w:val="clear" w:color="auto" w:fill="F2F2F2" w:themeFill="background1" w:themeFillShade="F2"/>
            <w:vAlign w:val="center"/>
          </w:tcPr>
          <w:p w:rsidR="00665F21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Planned expenditure of budget item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Plánované výdaje rozpočtové položky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F2F2F2" w:themeFill="background1" w:themeFillShade="F2"/>
            <w:vAlign w:val="center"/>
          </w:tcPr>
          <w:p w:rsidR="00665F21" w:rsidRPr="00F114FD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1014" w:type="pct"/>
            <w:vMerge w:val="restart"/>
            <w:shd w:val="clear" w:color="auto" w:fill="F2F2F2" w:themeFill="background1" w:themeFillShade="F2"/>
            <w:vAlign w:val="center"/>
          </w:tcPr>
          <w:p w:rsidR="00665F21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Spent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expenditure of budget item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Vynaložené</w:t>
            </w: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výdaje rozpočtové položky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88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F2F2F2" w:themeFill="background1" w:themeFillShade="F2"/>
            <w:vAlign w:val="center"/>
          </w:tcPr>
          <w:p w:rsidR="00665F21" w:rsidRPr="00F114FD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  <w:tr w:rsidR="00665F21" w:rsidRPr="00C84A12" w:rsidTr="00665F21">
        <w:trPr>
          <w:trHeight w:val="391"/>
        </w:trPr>
        <w:tc>
          <w:tcPr>
            <w:tcW w:w="935" w:type="pct"/>
            <w:vMerge/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F2F2F2" w:themeFill="background1" w:themeFillShade="F2"/>
            <w:vAlign w:val="center"/>
          </w:tcPr>
          <w:p w:rsidR="00665F21" w:rsidRPr="00F114FD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1014" w:type="pct"/>
            <w:vMerge/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88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4" w:type="pct"/>
            <w:shd w:val="clear" w:color="auto" w:fill="F2F2F2" w:themeFill="background1" w:themeFillShade="F2"/>
            <w:vAlign w:val="center"/>
          </w:tcPr>
          <w:p w:rsidR="00665F21" w:rsidRPr="00F114FD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</w:tbl>
    <w:p w:rsidR="00F114FD" w:rsidRDefault="00F114FD" w:rsidP="00F114FD">
      <w:pPr>
        <w:spacing w:after="0"/>
        <w:rPr>
          <w:rFonts w:ascii="Arial Narrow" w:hAnsi="Arial Narrow"/>
          <w:sz w:val="20"/>
          <w:szCs w:val="20"/>
        </w:rPr>
      </w:pPr>
    </w:p>
    <w:p w:rsidR="001F0EA6" w:rsidRDefault="00AC3D89" w:rsidP="00F114FD">
      <w:pPr>
        <w:spacing w:after="0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</w:t>
      </w:r>
      <w:r w:rsidR="00F114FD" w:rsidRPr="00F114FD">
        <w:t xml:space="preserve"> </w:t>
      </w:r>
      <w:r w:rsidR="00F114FD" w:rsidRPr="00F114FD">
        <w:rPr>
          <w:rFonts w:ascii="Arial Narrow" w:hAnsi="Arial Narrow"/>
          <w:sz w:val="20"/>
          <w:szCs w:val="20"/>
        </w:rPr>
        <w:t xml:space="preserve">provide the number of </w:t>
      </w:r>
      <w:r w:rsidR="00A87EB5">
        <w:rPr>
          <w:rFonts w:ascii="Arial Narrow" w:hAnsi="Arial Narrow"/>
          <w:sz w:val="20"/>
          <w:szCs w:val="20"/>
        </w:rPr>
        <w:t xml:space="preserve">budget </w:t>
      </w:r>
      <w:r w:rsidR="00F114FD" w:rsidRPr="00F114FD">
        <w:rPr>
          <w:rFonts w:ascii="Arial Narrow" w:hAnsi="Arial Narrow"/>
          <w:sz w:val="20"/>
          <w:szCs w:val="20"/>
        </w:rPr>
        <w:t>items as needed</w:t>
      </w:r>
      <w:r w:rsidR="00F114FD">
        <w:rPr>
          <w:rFonts w:ascii="Arial Narrow" w:hAnsi="Arial Narrow"/>
          <w:sz w:val="20"/>
          <w:szCs w:val="20"/>
        </w:rPr>
        <w:t xml:space="preserve"> / </w:t>
      </w:r>
      <w:r w:rsidR="00F114FD" w:rsidRPr="00F114FD">
        <w:rPr>
          <w:rFonts w:ascii="Arial Narrow" w:hAnsi="Arial Narrow"/>
          <w:i/>
          <w:sz w:val="20"/>
          <w:szCs w:val="20"/>
        </w:rPr>
        <w:t xml:space="preserve">uveďte počet </w:t>
      </w:r>
      <w:r w:rsidR="00A87EB5">
        <w:rPr>
          <w:rFonts w:ascii="Arial Narrow" w:hAnsi="Arial Narrow"/>
          <w:i/>
          <w:sz w:val="20"/>
          <w:szCs w:val="20"/>
        </w:rPr>
        <w:t xml:space="preserve">rozpočtových </w:t>
      </w:r>
      <w:r w:rsidR="00F114FD" w:rsidRPr="00F114FD">
        <w:rPr>
          <w:rFonts w:ascii="Arial Narrow" w:hAnsi="Arial Narrow"/>
          <w:i/>
          <w:sz w:val="20"/>
          <w:szCs w:val="20"/>
        </w:rPr>
        <w:t>položek dle potřeby</w:t>
      </w:r>
    </w:p>
    <w:p w:rsidR="00F114FD" w:rsidRDefault="00F114FD" w:rsidP="00F114FD">
      <w:pPr>
        <w:spacing w:after="0"/>
        <w:rPr>
          <w:rFonts w:ascii="Arial Narrow" w:hAnsi="Arial Narrow"/>
          <w:sz w:val="20"/>
          <w:szCs w:val="20"/>
        </w:rPr>
      </w:pPr>
    </w:p>
    <w:tbl>
      <w:tblPr>
        <w:tblW w:w="5000" w:type="pct"/>
        <w:shd w:val="clear" w:color="auto" w:fill="F2F2F2" w:themeFill="background1" w:themeFillShade="F2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83"/>
        <w:gridCol w:w="2554"/>
        <w:gridCol w:w="851"/>
        <w:gridCol w:w="1985"/>
        <w:gridCol w:w="1137"/>
        <w:gridCol w:w="2268"/>
        <w:gridCol w:w="991"/>
        <w:gridCol w:w="1778"/>
        <w:gridCol w:w="737"/>
      </w:tblGrid>
      <w:tr w:rsidR="00665F21" w:rsidRPr="00C84A12" w:rsidTr="00665F21">
        <w:trPr>
          <w:trHeight w:val="391"/>
        </w:trPr>
        <w:tc>
          <w:tcPr>
            <w:tcW w:w="506" w:type="pct"/>
            <w:vMerge w:val="restart"/>
            <w:shd w:val="clear" w:color="auto" w:fill="D9D9D9" w:themeFill="background1" w:themeFillShade="D9"/>
            <w:vAlign w:val="center"/>
          </w:tcPr>
          <w:p w:rsidR="00665F21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665F21">
              <w:rPr>
                <w:rFonts w:cs="Arial"/>
                <w:b/>
                <w:bCs/>
                <w:color w:val="000000"/>
                <w:sz w:val="20"/>
                <w:szCs w:val="20"/>
              </w:rPr>
              <w:t>TOTAL</w:t>
            </w:r>
            <w:r w:rsidRPr="00665F21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:rsidR="00665F21" w:rsidRPr="00665F21" w:rsidRDefault="00665F21" w:rsidP="00665F21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65F21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101" w:type="pct"/>
            <w:vMerge w:val="restart"/>
            <w:shd w:val="clear" w:color="auto" w:fill="FFFFFF" w:themeFill="background1"/>
            <w:vAlign w:val="center"/>
          </w:tcPr>
          <w:p w:rsidR="00665F21" w:rsidRPr="00665F21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665F21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Planned expenditure of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initiative</w:t>
            </w:r>
            <w:r w:rsidRPr="00665F21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665F21">
              <w:rPr>
                <w:rFonts w:cs="Arial"/>
                <w:bCs/>
                <w:i/>
                <w:color w:val="000000"/>
                <w:sz w:val="16"/>
                <w:szCs w:val="16"/>
              </w:rPr>
              <w:t>Pl</w:t>
            </w: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ánované výdaje </w:t>
            </w: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na iniciativu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70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:rsidR="00665F21" w:rsidRPr="00F114FD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810" w:type="pct"/>
            <w:vMerge w:val="restart"/>
            <w:shd w:val="clear" w:color="auto" w:fill="F2F2F2" w:themeFill="background1" w:themeFillShade="F2"/>
            <w:vAlign w:val="center"/>
          </w:tcPr>
          <w:p w:rsidR="00665F21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Spent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 expenditure of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initiative</w:t>
            </w:r>
          </w:p>
          <w:p w:rsidR="00665F21" w:rsidRPr="00C84A12" w:rsidRDefault="00665F21" w:rsidP="00665F21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Vynaložené</w:t>
            </w: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 xml:space="preserve"> výdaje </w:t>
            </w: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na iniciativu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i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n 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t</w:t>
            </w:r>
            <w:r w:rsidRPr="00C84A12">
              <w:rPr>
                <w:rFonts w:cs="Arial"/>
                <w:b/>
                <w:bCs/>
                <w:color w:val="000000"/>
                <w:sz w:val="16"/>
                <w:szCs w:val="16"/>
              </w:rPr>
              <w:t>otal</w:t>
            </w:r>
          </w:p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i/>
                <w:color w:val="000000"/>
                <w:sz w:val="16"/>
                <w:szCs w:val="16"/>
              </w:rPr>
            </w:pPr>
            <w:r w:rsidRPr="00C84A12">
              <w:rPr>
                <w:rFonts w:cs="Arial"/>
                <w:bCs/>
                <w:i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:rsidR="00665F21" w:rsidRPr="00F114FD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  <w:tr w:rsidR="00665F21" w:rsidRPr="00C84A12" w:rsidTr="00665F21">
        <w:trPr>
          <w:trHeight w:val="391"/>
        </w:trPr>
        <w:tc>
          <w:tcPr>
            <w:tcW w:w="506" w:type="pct"/>
            <w:vMerge/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shd w:val="clear" w:color="auto" w:fill="FFFFFF" w:themeFill="background1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912" w:type="pct"/>
            <w:vMerge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709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:rsidR="00665F21" w:rsidRPr="00F114FD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  <w:tc>
          <w:tcPr>
            <w:tcW w:w="810" w:type="pct"/>
            <w:vMerge/>
            <w:shd w:val="clear" w:color="auto" w:fill="F2F2F2" w:themeFill="background1" w:themeFillShade="F2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eligible</w:t>
            </w:r>
          </w:p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i/>
                <w:color w:val="000000"/>
                <w:sz w:val="16"/>
                <w:szCs w:val="16"/>
              </w:rPr>
              <w:t>způsobilé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65F21" w:rsidRPr="00C84A12" w:rsidRDefault="00665F21" w:rsidP="006D615C">
            <w:pPr>
              <w:spacing w:after="0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3" w:type="pct"/>
            <w:shd w:val="clear" w:color="auto" w:fill="D9D9D9" w:themeFill="background1" w:themeFillShade="D9"/>
            <w:vAlign w:val="center"/>
          </w:tcPr>
          <w:p w:rsidR="00665F21" w:rsidRPr="00F114FD" w:rsidRDefault="00665F21" w:rsidP="006D615C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F114FD">
              <w:rPr>
                <w:rFonts w:cs="Arial"/>
                <w:b/>
                <w:bCs/>
                <w:color w:val="000000"/>
                <w:sz w:val="20"/>
                <w:szCs w:val="20"/>
              </w:rPr>
              <w:t>CZK</w:t>
            </w:r>
          </w:p>
        </w:tc>
      </w:tr>
    </w:tbl>
    <w:p w:rsidR="008856F5" w:rsidRDefault="00657087" w:rsidP="00657087">
      <w:pPr>
        <w:tabs>
          <w:tab w:val="left" w:pos="12453"/>
          <w:tab w:val="left" w:pos="13121"/>
        </w:tabs>
        <w:rPr>
          <w:rFonts w:ascii="Arial Narrow" w:hAnsi="Arial Narrow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</w:p>
    <w:sectPr w:rsidR="008856F5" w:rsidSect="00657087">
      <w:headerReference w:type="default" r:id="rId8"/>
      <w:footerReference w:type="defaul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D67" w:rsidRDefault="00A83D67" w:rsidP="000E44E2">
      <w:pPr>
        <w:spacing w:after="0" w:line="240" w:lineRule="auto"/>
      </w:pPr>
      <w:r>
        <w:separator/>
      </w:r>
    </w:p>
  </w:endnote>
  <w:endnote w:type="continuationSeparator" w:id="0">
    <w:p w:rsidR="00A83D67" w:rsidRDefault="00A83D67" w:rsidP="000E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087" w:rsidRDefault="00657087">
    <w:pPr>
      <w:pStyle w:val="Zpat"/>
    </w:pPr>
    <w:r>
      <w:rPr>
        <w:rFonts w:cs="Arial"/>
        <w:i/>
        <w:sz w:val="16"/>
        <w:szCs w:val="16"/>
        <w:lang w:val="en-GB"/>
      </w:rPr>
      <w:t>*</w:t>
    </w:r>
    <w:r w:rsidRPr="008D4624">
      <w:rPr>
        <w:rFonts w:cs="Arial"/>
        <w:i/>
        <w:sz w:val="16"/>
        <w:szCs w:val="16"/>
        <w:lang w:val="en-GB"/>
      </w:rPr>
      <w:t xml:space="preserve"> </w:t>
    </w:r>
    <w:r w:rsidRPr="00657087">
      <w:rPr>
        <w:rFonts w:ascii="Arial Narrow" w:hAnsi="Arial Narrow" w:cs="Arial"/>
        <w:b/>
        <w:i/>
        <w:sz w:val="16"/>
        <w:szCs w:val="16"/>
        <w:lang w:val="en-GB"/>
      </w:rPr>
      <w:t>According to the eligibility of VAT within the initiative as stated within the approved Application for the initiative, incl. amendments.</w:t>
    </w:r>
    <w:r>
      <w:rPr>
        <w:rFonts w:cs="Arial"/>
        <w:i/>
        <w:sz w:val="16"/>
        <w:szCs w:val="16"/>
        <w:lang w:val="en-GB"/>
      </w:rPr>
      <w:t xml:space="preserve"> / v</w:t>
    </w:r>
    <w:r w:rsidRPr="00657087">
      <w:rPr>
        <w:rFonts w:ascii="Arial Narrow" w:hAnsi="Arial Narrow" w:cs="Arial"/>
        <w:i/>
        <w:sz w:val="16"/>
        <w:szCs w:val="16"/>
        <w:lang w:val="en-GB"/>
      </w:rPr>
      <w:t xml:space="preserve"> souladu s informací o oprávněnosti DPH v rámci iniciativy dle schválené žádosti včetně změn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D67" w:rsidRDefault="00A83D67" w:rsidP="000E44E2">
      <w:pPr>
        <w:spacing w:after="0" w:line="240" w:lineRule="auto"/>
      </w:pPr>
      <w:r>
        <w:separator/>
      </w:r>
    </w:p>
  </w:footnote>
  <w:footnote w:type="continuationSeparator" w:id="0">
    <w:p w:rsidR="00A83D67" w:rsidRDefault="00A83D67" w:rsidP="000E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087" w:rsidRDefault="00657087" w:rsidP="00657087">
    <w:pPr>
      <w:pStyle w:val="Zhlav"/>
      <w:pBdr>
        <w:bottom w:val="single" w:sz="4" w:space="1" w:color="auto"/>
      </w:pBdr>
    </w:pPr>
    <w:r>
      <w:t xml:space="preserve">      </w:t>
    </w:r>
    <w:r>
      <w:rPr>
        <w:noProof/>
        <w:lang w:eastAsia="cs-CZ"/>
      </w:rPr>
      <w:drawing>
        <wp:inline distT="0" distB="0" distL="0" distR="0" wp14:anchorId="03D469A7" wp14:editId="003DFE22">
          <wp:extent cx="595354" cy="59253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9873" cy="606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  <w:t xml:space="preserve">     </w:t>
    </w:r>
    <w:r>
      <w:rPr>
        <w:noProof/>
        <w:lang w:eastAsia="cs-CZ"/>
      </w:rPr>
      <w:drawing>
        <wp:inline distT="0" distB="0" distL="0" distR="0" wp14:anchorId="05409238" wp14:editId="4C380CE9">
          <wp:extent cx="1770278" cy="552844"/>
          <wp:effectExtent l="0" t="0" r="1905" b="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07872" cy="564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3A2E"/>
    <w:multiLevelType w:val="hybridMultilevel"/>
    <w:tmpl w:val="0DD88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76EEC"/>
    <w:multiLevelType w:val="hybridMultilevel"/>
    <w:tmpl w:val="E098AD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094C7A"/>
    <w:multiLevelType w:val="hybridMultilevel"/>
    <w:tmpl w:val="57D4BBC4"/>
    <w:lvl w:ilvl="0" w:tplc="0405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EA283C"/>
    <w:multiLevelType w:val="hybridMultilevel"/>
    <w:tmpl w:val="A42493E8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B44837"/>
    <w:multiLevelType w:val="hybridMultilevel"/>
    <w:tmpl w:val="DDC69136"/>
    <w:lvl w:ilvl="0" w:tplc="040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5E4FCB"/>
    <w:multiLevelType w:val="hybridMultilevel"/>
    <w:tmpl w:val="3502E49C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BB55F6"/>
    <w:multiLevelType w:val="multilevel"/>
    <w:tmpl w:val="09AA16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3FB6710"/>
    <w:multiLevelType w:val="hybridMultilevel"/>
    <w:tmpl w:val="548004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75B87"/>
    <w:multiLevelType w:val="hybridMultilevel"/>
    <w:tmpl w:val="5E22C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152AA"/>
    <w:multiLevelType w:val="hybridMultilevel"/>
    <w:tmpl w:val="602CF3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14DC3"/>
    <w:multiLevelType w:val="multilevel"/>
    <w:tmpl w:val="13F60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9723210"/>
    <w:multiLevelType w:val="multilevel"/>
    <w:tmpl w:val="A3DCA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51B0B03"/>
    <w:multiLevelType w:val="hybridMultilevel"/>
    <w:tmpl w:val="3A66D6C6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C35588"/>
    <w:multiLevelType w:val="hybridMultilevel"/>
    <w:tmpl w:val="ECA40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2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E2"/>
    <w:rsid w:val="000E44E2"/>
    <w:rsid w:val="00127821"/>
    <w:rsid w:val="001F0EA6"/>
    <w:rsid w:val="002405A1"/>
    <w:rsid w:val="002971E0"/>
    <w:rsid w:val="003C1211"/>
    <w:rsid w:val="00424A20"/>
    <w:rsid w:val="00455E78"/>
    <w:rsid w:val="00657087"/>
    <w:rsid w:val="00665F21"/>
    <w:rsid w:val="006A1623"/>
    <w:rsid w:val="007420D9"/>
    <w:rsid w:val="00765203"/>
    <w:rsid w:val="007F7549"/>
    <w:rsid w:val="00850954"/>
    <w:rsid w:val="00862AF4"/>
    <w:rsid w:val="008856F5"/>
    <w:rsid w:val="00906E91"/>
    <w:rsid w:val="009B5280"/>
    <w:rsid w:val="009E3580"/>
    <w:rsid w:val="00A83D67"/>
    <w:rsid w:val="00A87DA1"/>
    <w:rsid w:val="00A87EB5"/>
    <w:rsid w:val="00AC3D89"/>
    <w:rsid w:val="00BC54ED"/>
    <w:rsid w:val="00BD0A42"/>
    <w:rsid w:val="00C309B9"/>
    <w:rsid w:val="00C84A12"/>
    <w:rsid w:val="00D23537"/>
    <w:rsid w:val="00D61968"/>
    <w:rsid w:val="00DF2D70"/>
    <w:rsid w:val="00F114FD"/>
    <w:rsid w:val="00F20D2D"/>
    <w:rsid w:val="00F57D70"/>
    <w:rsid w:val="00F65867"/>
    <w:rsid w:val="00F8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4DE6"/>
  <w15:chartTrackingRefBased/>
  <w15:docId w15:val="{9BF55344-FDED-4597-A064-E80664F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44E2"/>
  </w:style>
  <w:style w:type="paragraph" w:styleId="Zpat">
    <w:name w:val="footer"/>
    <w:basedOn w:val="Normln"/>
    <w:link w:val="ZpatChar"/>
    <w:uiPriority w:val="99"/>
    <w:unhideWhenUsed/>
    <w:rsid w:val="000E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44E2"/>
  </w:style>
  <w:style w:type="paragraph" w:styleId="Odstavecseseznamem">
    <w:name w:val="List Paragraph"/>
    <w:basedOn w:val="Normln"/>
    <w:uiPriority w:val="34"/>
    <w:qFormat/>
    <w:rsid w:val="000E44E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6586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6586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658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5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74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92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47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137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32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754EE-1D8C-43AC-86EC-86E0DA5A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Marcin Ivo</cp:lastModifiedBy>
  <cp:revision>3</cp:revision>
  <dcterms:created xsi:type="dcterms:W3CDTF">2019-05-28T13:15:00Z</dcterms:created>
  <dcterms:modified xsi:type="dcterms:W3CDTF">2019-05-28T13:27:00Z</dcterms:modified>
</cp:coreProperties>
</file>